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56231F"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3D2548" w:rsidRPr="00AE5317" w:rsidRDefault="00AE5317" w:rsidP="003D2548">
      <w:pPr>
        <w:widowControl w:val="0"/>
        <w:shd w:val="clear" w:color="auto" w:fill="FFFFFF"/>
        <w:autoSpaceDE w:val="0"/>
        <w:autoSpaceDN w:val="0"/>
        <w:adjustRightInd w:val="0"/>
        <w:jc w:val="center"/>
        <w:rPr>
          <w:b/>
          <w:bCs/>
          <w:color w:val="000000"/>
          <w:sz w:val="32"/>
          <w:szCs w:val="32"/>
        </w:rPr>
      </w:pPr>
      <w:r w:rsidRPr="00AE5317">
        <w:rPr>
          <w:b/>
          <w:sz w:val="32"/>
          <w:szCs w:val="32"/>
        </w:rPr>
        <w:t>44.03.05 «Педагогическое образование (с двумя проф</w:t>
      </w:r>
      <w:r w:rsidR="00C55551">
        <w:rPr>
          <w:b/>
          <w:sz w:val="32"/>
          <w:szCs w:val="32"/>
        </w:rPr>
        <w:t>илями подготовки)», профиль «Ин</w:t>
      </w:r>
      <w:r w:rsidRPr="00AE5317">
        <w:rPr>
          <w:b/>
          <w:sz w:val="32"/>
          <w:szCs w:val="32"/>
        </w:rPr>
        <w:t>остранный язык » и «Начальное образование»</w:t>
      </w: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Pr="00417891">
        <w:rPr>
          <w:b/>
          <w:sz w:val="28"/>
          <w:szCs w:val="28"/>
        </w:rPr>
        <w:t xml:space="preserve"> 20</w:t>
      </w:r>
      <w:r w:rsidR="00352296">
        <w:rPr>
          <w:b/>
          <w:sz w:val="28"/>
          <w:szCs w:val="28"/>
        </w:rPr>
        <w:t>21</w:t>
      </w:r>
      <w:r>
        <w:rPr>
          <w:b/>
          <w:sz w:val="28"/>
          <w:szCs w:val="28"/>
        </w:rPr>
        <w:t xml:space="preserve">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352296" w:rsidRDefault="00352296" w:rsidP="00352296">
      <w:pPr>
        <w:ind w:firstLine="708"/>
        <w:jc w:val="both"/>
        <w:rPr>
          <w:spacing w:val="-3"/>
        </w:rPr>
      </w:pPr>
      <w:r>
        <w:rPr>
          <w:spacing w:val="-3"/>
        </w:rPr>
        <w:t xml:space="preserve">К.п.н., доцент </w:t>
      </w:r>
      <w:r>
        <w:rPr>
          <w:iCs/>
        </w:rPr>
        <w:t>Л.Н.Корпачева</w:t>
      </w:r>
      <w:r>
        <w:rPr>
          <w:i/>
          <w:iCs/>
        </w:rPr>
        <w:t xml:space="preserve"> </w:t>
      </w:r>
    </w:p>
    <w:p w:rsidR="00352296" w:rsidRDefault="00352296" w:rsidP="00352296">
      <w:pPr>
        <w:jc w:val="both"/>
        <w:rPr>
          <w:spacing w:val="-3"/>
        </w:rPr>
      </w:pPr>
    </w:p>
    <w:p w:rsidR="00352296" w:rsidRDefault="00352296" w:rsidP="00352296">
      <w:pPr>
        <w:ind w:firstLine="708"/>
        <w:jc w:val="both"/>
        <w:rPr>
          <w:spacing w:val="-3"/>
        </w:rPr>
      </w:pPr>
      <w:r>
        <w:rPr>
          <w:spacing w:val="-3"/>
        </w:rPr>
        <w:t>Экзаменационные материалы одобрены на заседании кафедры «П</w:t>
      </w:r>
      <w:r>
        <w:t>едагогики, психологии и социальной работы»</w:t>
      </w:r>
    </w:p>
    <w:p w:rsidR="00352296" w:rsidRDefault="00C55551" w:rsidP="00352296">
      <w:pPr>
        <w:ind w:firstLine="708"/>
        <w:jc w:val="both"/>
        <w:rPr>
          <w:spacing w:val="-3"/>
        </w:rPr>
      </w:pPr>
      <w:r>
        <w:rPr>
          <w:spacing w:val="-3"/>
        </w:rPr>
        <w:t>Протокол от 30.08.2021  № 1</w:t>
      </w: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д.п.н., профессор</w:t>
      </w:r>
      <w:r w:rsidR="00352296">
        <w:rPr>
          <w:spacing w:val="-3"/>
        </w:rPr>
        <w:t xml:space="preserve">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C55551" w:rsidRPr="00C55551">
        <w:rPr>
          <w:bCs/>
          <w:color w:val="000000"/>
          <w:sz w:val="28"/>
          <w:szCs w:val="28"/>
        </w:rPr>
        <w:t>44.03.05 «Педагогическое образование (с двумя профилями подготовки)», профиль «Иностранный язык » и «Начальное образование»</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c"/>
          <w:color w:val="000000"/>
          <w:sz w:val="28"/>
          <w:szCs w:val="28"/>
          <w:shd w:val="clear" w:color="auto" w:fill="FFFFFF"/>
        </w:rPr>
        <w:t>», </w:t>
      </w:r>
      <w:r w:rsidRPr="00320BF4">
        <w:rPr>
          <w:rStyle w:val="FontStyle11"/>
        </w:rPr>
        <w:t xml:space="preserve"> </w:t>
      </w:r>
      <w:r w:rsidRPr="00320BF4">
        <w:rPr>
          <w:rStyle w:val="afc"/>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a"/>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d"/>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d"/>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d"/>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56231F">
          <w:rPr>
            <w:rStyle w:val="ab"/>
            <w:sz w:val="28"/>
            <w:szCs w:val="28"/>
          </w:rPr>
          <w:t>https://www.antiplagiat.ru/</w:t>
        </w:r>
      </w:hyperlink>
    </w:p>
    <w:p w:rsidR="008E271D" w:rsidRPr="00257431" w:rsidRDefault="008E271D" w:rsidP="008E271D">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56231F"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56231F"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56231F"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6231F">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56231F">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56231F">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56231F">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56231F"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56231F"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56231F"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a"/>
        <w:spacing w:after="0"/>
        <w:ind w:firstLine="709"/>
        <w:jc w:val="center"/>
        <w:rPr>
          <w:sz w:val="28"/>
          <w:szCs w:val="28"/>
        </w:rPr>
      </w:pPr>
    </w:p>
    <w:p w:rsidR="008E271D" w:rsidRDefault="008E271D" w:rsidP="008E271D">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a"/>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56231F">
          <w:rPr>
            <w:rStyle w:val="ab"/>
            <w:sz w:val="28"/>
            <w:szCs w:val="28"/>
          </w:rPr>
          <w:t>http://www.consultant.ru</w:t>
        </w:r>
      </w:hyperlink>
      <w:r w:rsidRPr="003E4FF1">
        <w:rPr>
          <w:sz w:val="28"/>
          <w:szCs w:val="28"/>
        </w:rPr>
        <w:t xml:space="preserve">   </w:t>
      </w:r>
    </w:p>
    <w:p w:rsidR="008E271D" w:rsidRPr="003E4FF1" w:rsidRDefault="008E271D" w:rsidP="008E271D">
      <w:pPr>
        <w:pStyle w:val="afa"/>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56231F">
          <w:rPr>
            <w:rStyle w:val="ab"/>
            <w:sz w:val="28"/>
            <w:szCs w:val="28"/>
          </w:rPr>
          <w:t>http://www2/usu.ru/philosoph/chertkova..</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a"/>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56231F">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a"/>
        <w:spacing w:after="0"/>
        <w:ind w:firstLine="709"/>
        <w:jc w:val="center"/>
        <w:rPr>
          <w:sz w:val="28"/>
          <w:szCs w:val="28"/>
        </w:rPr>
      </w:pPr>
      <w:r w:rsidRPr="003E4FF1">
        <w:rPr>
          <w:sz w:val="28"/>
          <w:szCs w:val="28"/>
        </w:rPr>
        <w:t>Интернет-ресурсы</w:t>
      </w:r>
    </w:p>
    <w:p w:rsidR="008E271D" w:rsidRPr="003E4FF1" w:rsidRDefault="008E271D" w:rsidP="008E271D">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56231F">
          <w:rPr>
            <w:rStyle w:val="ab"/>
            <w:sz w:val="28"/>
            <w:szCs w:val="28"/>
          </w:rPr>
          <w:t>http://www.minfin.ru</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56231F">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56231F">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a"/>
        <w:spacing w:after="0"/>
        <w:ind w:firstLine="709"/>
        <w:rPr>
          <w:sz w:val="28"/>
          <w:szCs w:val="28"/>
        </w:rPr>
      </w:pPr>
      <w:r w:rsidRPr="003E4FF1">
        <w:rPr>
          <w:sz w:val="28"/>
          <w:szCs w:val="28"/>
        </w:rPr>
        <w:tab/>
      </w:r>
    </w:p>
    <w:p w:rsidR="008E271D" w:rsidRPr="003E4FF1" w:rsidRDefault="008E271D" w:rsidP="008E271D">
      <w:pPr>
        <w:pStyle w:val="afa"/>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4" w:history="1">
        <w:r w:rsidR="00046670">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5" w:history="1">
        <w:r w:rsidR="0056231F">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6"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7"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8"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29" w:history="1">
        <w:r w:rsidR="0056231F">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b"/>
        <w:jc w:val="center"/>
        <w:rPr>
          <w:sz w:val="28"/>
          <w:szCs w:val="28"/>
        </w:rPr>
      </w:pPr>
      <w:r w:rsidRPr="00F874A0">
        <w:rPr>
          <w:sz w:val="28"/>
          <w:szCs w:val="28"/>
        </w:rPr>
        <w:t>Содержание</w:t>
      </w:r>
    </w:p>
    <w:p w:rsidR="00C370CC" w:rsidRPr="00F874A0" w:rsidRDefault="00C370CC" w:rsidP="00C370CC">
      <w:pPr>
        <w:pStyle w:val="afb"/>
        <w:rPr>
          <w:sz w:val="28"/>
          <w:szCs w:val="28"/>
        </w:rPr>
      </w:pPr>
    </w:p>
    <w:p w:rsidR="00C370CC" w:rsidRPr="00F874A0" w:rsidRDefault="00C370CC" w:rsidP="00C370CC">
      <w:pPr>
        <w:pStyle w:val="afb"/>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a"/>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232DDC" w:rsidRDefault="004C0B05" w:rsidP="00C55551">
      <w:pPr>
        <w:jc w:val="center"/>
        <w:rPr>
          <w:bCs/>
          <w:color w:val="000000"/>
          <w:sz w:val="28"/>
          <w:szCs w:val="28"/>
        </w:rPr>
      </w:pPr>
      <w:r w:rsidRPr="00091E7F">
        <w:rPr>
          <w:sz w:val="28"/>
          <w:szCs w:val="28"/>
        </w:rPr>
        <w:t xml:space="preserve">Направление подготовки: </w:t>
      </w:r>
      <w:r w:rsidR="00C55551" w:rsidRPr="00C55551">
        <w:rPr>
          <w:sz w:val="28"/>
          <w:szCs w:val="28"/>
        </w:rPr>
        <w:t>44.03.05 «Педагогическое образование (с двумя профилями подготовки)», профиль «Иностранный язык » и «Начальное образование»</w:t>
      </w:r>
      <w:r w:rsidR="00232DDC"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a"/>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a"/>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7AB1" w:rsidRDefault="000D7AB1">
      <w:r>
        <w:separator/>
      </w:r>
    </w:p>
  </w:endnote>
  <w:endnote w:type="continuationSeparator" w:id="0">
    <w:p w:rsidR="000D7AB1" w:rsidRDefault="000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C55551">
      <w:rPr>
        <w:noProof/>
      </w:rPr>
      <w:t>30</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7AB1" w:rsidRDefault="000D7AB1">
      <w:r>
        <w:separator/>
      </w:r>
    </w:p>
  </w:footnote>
  <w:footnote w:type="continuationSeparator" w:id="0">
    <w:p w:rsidR="000D7AB1" w:rsidRDefault="000D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41AC1"/>
    <w:rsid w:val="00046670"/>
    <w:rsid w:val="00051CEE"/>
    <w:rsid w:val="0006382B"/>
    <w:rsid w:val="00091E7F"/>
    <w:rsid w:val="000B704A"/>
    <w:rsid w:val="000D7AB1"/>
    <w:rsid w:val="001016F5"/>
    <w:rsid w:val="00144E64"/>
    <w:rsid w:val="00180225"/>
    <w:rsid w:val="0018440C"/>
    <w:rsid w:val="00193F78"/>
    <w:rsid w:val="001A1BBE"/>
    <w:rsid w:val="001C1178"/>
    <w:rsid w:val="00214CE9"/>
    <w:rsid w:val="0022569E"/>
    <w:rsid w:val="00232B1C"/>
    <w:rsid w:val="00232DDC"/>
    <w:rsid w:val="00235A50"/>
    <w:rsid w:val="00243775"/>
    <w:rsid w:val="00295874"/>
    <w:rsid w:val="00295E94"/>
    <w:rsid w:val="002A4B00"/>
    <w:rsid w:val="002D3890"/>
    <w:rsid w:val="002E6387"/>
    <w:rsid w:val="002E6943"/>
    <w:rsid w:val="00320BF4"/>
    <w:rsid w:val="00352296"/>
    <w:rsid w:val="003B3603"/>
    <w:rsid w:val="003D2548"/>
    <w:rsid w:val="003D41E3"/>
    <w:rsid w:val="003E601A"/>
    <w:rsid w:val="003F4537"/>
    <w:rsid w:val="00404B7E"/>
    <w:rsid w:val="00435B8F"/>
    <w:rsid w:val="00464DB7"/>
    <w:rsid w:val="00487745"/>
    <w:rsid w:val="004C0B05"/>
    <w:rsid w:val="00515D68"/>
    <w:rsid w:val="00523166"/>
    <w:rsid w:val="00537E28"/>
    <w:rsid w:val="00554821"/>
    <w:rsid w:val="0056231F"/>
    <w:rsid w:val="00563E53"/>
    <w:rsid w:val="005C5D1D"/>
    <w:rsid w:val="005E21BB"/>
    <w:rsid w:val="00617D32"/>
    <w:rsid w:val="00665A56"/>
    <w:rsid w:val="006B63A2"/>
    <w:rsid w:val="006E3305"/>
    <w:rsid w:val="0070108F"/>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9F66E3"/>
    <w:rsid w:val="00A21D31"/>
    <w:rsid w:val="00A4168E"/>
    <w:rsid w:val="00A87650"/>
    <w:rsid w:val="00AD71EE"/>
    <w:rsid w:val="00AE5317"/>
    <w:rsid w:val="00AF1612"/>
    <w:rsid w:val="00B27316"/>
    <w:rsid w:val="00B6053B"/>
    <w:rsid w:val="00B85915"/>
    <w:rsid w:val="00B94726"/>
    <w:rsid w:val="00BA4EF6"/>
    <w:rsid w:val="00BB53B9"/>
    <w:rsid w:val="00BB555B"/>
    <w:rsid w:val="00BD6FBA"/>
    <w:rsid w:val="00BE5AD3"/>
    <w:rsid w:val="00C00B1C"/>
    <w:rsid w:val="00C32A47"/>
    <w:rsid w:val="00C370CC"/>
    <w:rsid w:val="00C55551"/>
    <w:rsid w:val="00CA7A32"/>
    <w:rsid w:val="00CE1A56"/>
    <w:rsid w:val="00CF1175"/>
    <w:rsid w:val="00CF22EA"/>
    <w:rsid w:val="00D1767C"/>
    <w:rsid w:val="00D2445F"/>
    <w:rsid w:val="00D427DC"/>
    <w:rsid w:val="00D5330C"/>
    <w:rsid w:val="00D7612D"/>
    <w:rsid w:val="00DD6FB8"/>
    <w:rsid w:val="00DE1DEB"/>
    <w:rsid w:val="00E01641"/>
    <w:rsid w:val="00E65D38"/>
    <w:rsid w:val="00EB0BB0"/>
    <w:rsid w:val="00EC0DC2"/>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77286A-E922-4632-8961-50C9EE9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d">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styleId="afe">
    <w:name w:val="Unresolved Mention"/>
    <w:basedOn w:val="a0"/>
    <w:uiPriority w:val="99"/>
    <w:semiHidden/>
    <w:unhideWhenUsed/>
    <w:rsid w:val="0004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7801">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biblio-online.ru/book/F6B34DED-3595-411E-BB11-8D77DFBE58DD"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biblio-online.ru/book/37288DC1-4074-4EAC-BD6C-468AE95C7F3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30415.&#8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blio-online.ru/book/16466671-946B-4970-BCD0-DCE8B349619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www.biblio-online.ru/book/5FE9FBE1-E147-48EF-A18A-F2636ED64313"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biblio-online.ru/book/4D589D7A-43DE-4B81-BE78-E6E9FFE692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FD6D3-26EB-4AA3-AF0F-6ADC4940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7326</Words>
  <Characters>41759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48988</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2018-09-26T11:13:00Z</cp:lastPrinted>
  <dcterms:created xsi:type="dcterms:W3CDTF">2022-03-26T07:48:00Z</dcterms:created>
  <dcterms:modified xsi:type="dcterms:W3CDTF">2022-11-13T19:31:00Z</dcterms:modified>
</cp:coreProperties>
</file>